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D9" w:rsidRPr="00157B64" w:rsidRDefault="00453BD9" w:rsidP="00453BD9">
      <w:pPr>
        <w:spacing w:after="0"/>
        <w:jc w:val="center"/>
        <w:rPr>
          <w:b/>
          <w:bCs/>
          <w:sz w:val="24"/>
          <w:szCs w:val="24"/>
        </w:rPr>
      </w:pPr>
      <w:r w:rsidRPr="00157B64">
        <w:rPr>
          <w:b/>
          <w:bCs/>
          <w:sz w:val="24"/>
          <w:szCs w:val="24"/>
        </w:rPr>
        <w:t>План мероприятий</w:t>
      </w:r>
      <w:r w:rsidRPr="00157B64">
        <w:rPr>
          <w:b/>
          <w:bCs/>
          <w:sz w:val="24"/>
          <w:szCs w:val="24"/>
        </w:rPr>
        <w:br/>
        <w:t>по реализации Стратегии комплексной безопасности детей в Российской Федерации на период до 2030 года</w:t>
      </w:r>
      <w:r w:rsidR="00BC65EC">
        <w:rPr>
          <w:b/>
          <w:bCs/>
          <w:sz w:val="24"/>
          <w:szCs w:val="24"/>
        </w:rPr>
        <w:t xml:space="preserve"> (Распоряжение правительства РФ</w:t>
      </w:r>
      <w:r w:rsidR="00E3572B" w:rsidRPr="00157B64">
        <w:rPr>
          <w:b/>
          <w:bCs/>
          <w:sz w:val="24"/>
          <w:szCs w:val="24"/>
        </w:rPr>
        <w:t xml:space="preserve"> № 3233-2 от 17.11.2023</w:t>
      </w:r>
      <w:r w:rsidR="00BC65EC">
        <w:rPr>
          <w:b/>
          <w:bCs/>
          <w:sz w:val="24"/>
          <w:szCs w:val="24"/>
        </w:rPr>
        <w:t>)</w:t>
      </w:r>
      <w:bookmarkStart w:id="0" w:name="_GoBack"/>
      <w:bookmarkEnd w:id="0"/>
    </w:p>
    <w:p w:rsidR="00A17B67" w:rsidRPr="00D63830" w:rsidRDefault="00A17B67" w:rsidP="00E2088C">
      <w:pPr>
        <w:spacing w:after="0"/>
        <w:rPr>
          <w:b/>
          <w:bCs/>
          <w:sz w:val="32"/>
          <w:szCs w:val="32"/>
        </w:rPr>
      </w:pPr>
      <w:r w:rsidRPr="00157B64">
        <w:rPr>
          <w:b/>
          <w:bCs/>
          <w:sz w:val="24"/>
          <w:szCs w:val="24"/>
        </w:rPr>
        <w:t>I. Сбережение детей, укрепление благополучия семей, имеющих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4719"/>
        <w:gridCol w:w="2561"/>
        <w:gridCol w:w="3640"/>
      </w:tblGrid>
      <w:tr w:rsidR="00E3572B" w:rsidTr="00450E70">
        <w:tc>
          <w:tcPr>
            <w:tcW w:w="3640" w:type="dxa"/>
          </w:tcPr>
          <w:p w:rsidR="00E3572B" w:rsidRDefault="00157B64" w:rsidP="00157B64">
            <w:r>
              <w:t xml:space="preserve">Наименование </w:t>
            </w:r>
            <w:r w:rsidR="00AC0533">
              <w:t>мероприятия</w:t>
            </w:r>
          </w:p>
        </w:tc>
        <w:tc>
          <w:tcPr>
            <w:tcW w:w="4719" w:type="dxa"/>
          </w:tcPr>
          <w:p w:rsidR="00E3572B" w:rsidRDefault="00AC0533">
            <w:r>
              <w:t>Вид документа</w:t>
            </w:r>
          </w:p>
        </w:tc>
        <w:tc>
          <w:tcPr>
            <w:tcW w:w="2561" w:type="dxa"/>
          </w:tcPr>
          <w:p w:rsidR="00E3572B" w:rsidRDefault="00157B64" w:rsidP="00AC0533">
            <w:pPr>
              <w:jc w:val="center"/>
            </w:pPr>
            <w:r>
              <w:t>Срок исполнения</w:t>
            </w:r>
          </w:p>
        </w:tc>
        <w:tc>
          <w:tcPr>
            <w:tcW w:w="3640" w:type="dxa"/>
          </w:tcPr>
          <w:p w:rsidR="00E3572B" w:rsidRDefault="00157B64" w:rsidP="00AC0533">
            <w:pPr>
              <w:jc w:val="center"/>
            </w:pPr>
            <w:r>
              <w:t xml:space="preserve">Ответственные </w:t>
            </w:r>
            <w:r w:rsidR="00775BA6">
              <w:t>исполнители</w:t>
            </w:r>
          </w:p>
        </w:tc>
      </w:tr>
      <w:tr w:rsidR="00AC0533" w:rsidTr="00450E70">
        <w:tc>
          <w:tcPr>
            <w:tcW w:w="3640" w:type="dxa"/>
          </w:tcPr>
          <w:p w:rsidR="00AC0533" w:rsidRDefault="00D146CA" w:rsidP="00AC0533">
            <w:r>
              <w:t xml:space="preserve">3 </w:t>
            </w:r>
            <w:r w:rsidR="00AC0533" w:rsidRPr="00D63830">
              <w:t>Разработка информационно-просветительских материалов, направленных на поддержку и формирование здорового образа жизни у детей и семей, имеющих детей, а также на популяризацию культуры здоровья семьи как базовой ценности</w:t>
            </w:r>
          </w:p>
        </w:tc>
        <w:tc>
          <w:tcPr>
            <w:tcW w:w="4719" w:type="dxa"/>
            <w:shd w:val="clear" w:color="auto" w:fill="FFFFFF"/>
          </w:tcPr>
          <w:p w:rsidR="00AC0533" w:rsidRDefault="00AC0533" w:rsidP="00AC05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информационно-методические материалы в субъекты Российской Федерации</w:t>
            </w:r>
          </w:p>
        </w:tc>
        <w:tc>
          <w:tcPr>
            <w:tcW w:w="2561" w:type="dxa"/>
            <w:shd w:val="clear" w:color="auto" w:fill="FFFFFF"/>
          </w:tcPr>
          <w:p w:rsidR="00AC0533" w:rsidRDefault="00AC0533" w:rsidP="00AC05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III квартал 2024 г.</w:t>
            </w:r>
          </w:p>
        </w:tc>
        <w:tc>
          <w:tcPr>
            <w:tcW w:w="3640" w:type="dxa"/>
            <w:shd w:val="clear" w:color="auto" w:fill="FFFFFF"/>
          </w:tcPr>
          <w:p w:rsidR="00AC0533" w:rsidRDefault="00AC0533" w:rsidP="00AC05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</w:t>
            </w:r>
          </w:p>
        </w:tc>
      </w:tr>
      <w:tr w:rsidR="00A2500D" w:rsidTr="00450E70">
        <w:tc>
          <w:tcPr>
            <w:tcW w:w="3640" w:type="dxa"/>
          </w:tcPr>
          <w:p w:rsidR="00A2500D" w:rsidRPr="00F143CC" w:rsidRDefault="00AB781E" w:rsidP="00AC0533">
            <w:r w:rsidRPr="00F143CC">
              <w:t>20. Организация и проведение исполнительными органами субъектов РФ информационных кампаний по повышению грамотности и ответственности родителей (законных представителей) по вопросу профилактики инфекционных заболеваний у детей</w:t>
            </w:r>
          </w:p>
        </w:tc>
        <w:tc>
          <w:tcPr>
            <w:tcW w:w="4719" w:type="dxa"/>
            <w:shd w:val="clear" w:color="auto" w:fill="FFFFFF"/>
          </w:tcPr>
          <w:p w:rsidR="00A2500D" w:rsidRPr="00F143CC" w:rsidRDefault="00AB781E" w:rsidP="00AC05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F143CC">
              <w:rPr>
                <w:rFonts w:ascii="Arial" w:hAnsi="Arial" w:cs="Arial"/>
                <w:color w:val="333333"/>
                <w:sz w:val="21"/>
                <w:szCs w:val="21"/>
              </w:rPr>
              <w:t>отчет в Минздрав России</w:t>
            </w:r>
          </w:p>
        </w:tc>
        <w:tc>
          <w:tcPr>
            <w:tcW w:w="2561" w:type="dxa"/>
            <w:shd w:val="clear" w:color="auto" w:fill="FFFFFF"/>
          </w:tcPr>
          <w:p w:rsidR="00A2500D" w:rsidRPr="00F143CC" w:rsidRDefault="00AB781E" w:rsidP="00AC05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F143CC">
              <w:rPr>
                <w:rFonts w:ascii="Arial" w:hAnsi="Arial" w:cs="Arial"/>
                <w:color w:val="333333"/>
                <w:sz w:val="21"/>
                <w:szCs w:val="21"/>
              </w:rPr>
              <w:t>2024 - 2030 годы</w:t>
            </w:r>
          </w:p>
        </w:tc>
        <w:tc>
          <w:tcPr>
            <w:tcW w:w="3640" w:type="dxa"/>
            <w:shd w:val="clear" w:color="auto" w:fill="FFFFFF"/>
          </w:tcPr>
          <w:p w:rsidR="00A2500D" w:rsidRPr="00A2500D" w:rsidRDefault="00D223AF" w:rsidP="00AC05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D223AF">
              <w:rPr>
                <w:rFonts w:ascii="Arial" w:hAnsi="Arial" w:cs="Arial"/>
                <w:color w:val="333333"/>
                <w:sz w:val="21"/>
                <w:szCs w:val="21"/>
              </w:rPr>
              <w:t xml:space="preserve">исполнительные органы субъектов Российской Федерации, Минздрав России, </w:t>
            </w:r>
            <w:proofErr w:type="spellStart"/>
            <w:r w:rsidRPr="00D223AF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D223AF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</w:t>
            </w:r>
            <w:proofErr w:type="spellStart"/>
            <w:r w:rsidRPr="00D223AF">
              <w:rPr>
                <w:rFonts w:ascii="Arial" w:hAnsi="Arial" w:cs="Arial"/>
                <w:color w:val="333333"/>
                <w:sz w:val="21"/>
                <w:szCs w:val="21"/>
              </w:rPr>
              <w:t>Роспотребнадзор</w:t>
            </w:r>
            <w:proofErr w:type="spellEnd"/>
            <w:r w:rsidRPr="00D223AF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23AF" w:rsidTr="00450E70">
        <w:tc>
          <w:tcPr>
            <w:tcW w:w="3640" w:type="dxa"/>
          </w:tcPr>
          <w:p w:rsidR="00D223AF" w:rsidRPr="00F143CC" w:rsidRDefault="00D223AF" w:rsidP="00AC0533">
            <w:pPr>
              <w:rPr>
                <w:b/>
              </w:rPr>
            </w:pPr>
            <w:r w:rsidRPr="00F143CC">
              <w:rPr>
                <w:b/>
              </w:rPr>
              <w:t xml:space="preserve">21. Реализация мероприятий, направленных на охрану здоровья граждан от воздействия окружающего табачного дыма и последствий потребления табака, а также иной </w:t>
            </w:r>
            <w:proofErr w:type="spellStart"/>
            <w:r w:rsidRPr="00F143CC">
              <w:rPr>
                <w:b/>
              </w:rPr>
              <w:t>никотинсодержащей</w:t>
            </w:r>
            <w:proofErr w:type="spellEnd"/>
            <w:r w:rsidRPr="00F143CC">
              <w:rPr>
                <w:b/>
              </w:rPr>
              <w:t xml:space="preserve"> продукции</w:t>
            </w:r>
          </w:p>
        </w:tc>
        <w:tc>
          <w:tcPr>
            <w:tcW w:w="4719" w:type="dxa"/>
            <w:shd w:val="clear" w:color="auto" w:fill="FFFFFF"/>
          </w:tcPr>
          <w:p w:rsidR="00D223AF" w:rsidRPr="00F143CC" w:rsidRDefault="00D223AF" w:rsidP="00AC0533">
            <w:pPr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F143CC">
              <w:rPr>
                <w:rFonts w:ascii="Arial" w:hAnsi="Arial" w:cs="Arial"/>
                <w:b/>
                <w:color w:val="333333"/>
                <w:sz w:val="21"/>
                <w:szCs w:val="21"/>
              </w:rPr>
              <w:t>доклад в Правительство Российской Федерации</w:t>
            </w:r>
          </w:p>
        </w:tc>
        <w:tc>
          <w:tcPr>
            <w:tcW w:w="2561" w:type="dxa"/>
            <w:shd w:val="clear" w:color="auto" w:fill="FFFFFF"/>
          </w:tcPr>
          <w:p w:rsidR="00D223AF" w:rsidRPr="00F143CC" w:rsidRDefault="00D223AF" w:rsidP="00AC0533">
            <w:pPr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F143CC">
              <w:rPr>
                <w:rFonts w:ascii="Arial" w:hAnsi="Arial" w:cs="Arial"/>
                <w:b/>
                <w:color w:val="333333"/>
                <w:sz w:val="21"/>
                <w:szCs w:val="21"/>
              </w:rPr>
              <w:t>I квартал 2024 г., далее - ежегодно</w:t>
            </w:r>
          </w:p>
        </w:tc>
        <w:tc>
          <w:tcPr>
            <w:tcW w:w="3640" w:type="dxa"/>
            <w:shd w:val="clear" w:color="auto" w:fill="FFFFFF"/>
          </w:tcPr>
          <w:p w:rsidR="00D223AF" w:rsidRPr="00D223AF" w:rsidRDefault="007C76F9" w:rsidP="00AC05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C76F9">
              <w:rPr>
                <w:rFonts w:ascii="Arial" w:hAnsi="Arial" w:cs="Arial"/>
                <w:color w:val="333333"/>
                <w:sz w:val="21"/>
                <w:szCs w:val="21"/>
              </w:rPr>
              <w:t xml:space="preserve">Минздрав России, Минсельхоз России, </w:t>
            </w:r>
            <w:proofErr w:type="spellStart"/>
            <w:r w:rsidRPr="007C76F9">
              <w:rPr>
                <w:rFonts w:ascii="Arial" w:hAnsi="Arial" w:cs="Arial"/>
                <w:color w:val="333333"/>
                <w:sz w:val="21"/>
                <w:szCs w:val="21"/>
              </w:rPr>
              <w:t>Роспотребнадзор</w:t>
            </w:r>
            <w:proofErr w:type="spellEnd"/>
            <w:r w:rsidRPr="007C76F9">
              <w:rPr>
                <w:rFonts w:ascii="Arial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C76F9">
              <w:rPr>
                <w:rFonts w:ascii="Arial" w:hAnsi="Arial" w:cs="Arial"/>
                <w:color w:val="333333"/>
                <w:sz w:val="21"/>
                <w:szCs w:val="21"/>
              </w:rPr>
              <w:t>Росалкогольтабакконтроль</w:t>
            </w:r>
            <w:proofErr w:type="spellEnd"/>
            <w:r w:rsidRPr="007C76F9">
              <w:rPr>
                <w:rFonts w:ascii="Arial" w:hAnsi="Arial" w:cs="Arial"/>
                <w:color w:val="333333"/>
                <w:sz w:val="21"/>
                <w:szCs w:val="21"/>
              </w:rPr>
              <w:t xml:space="preserve">, заинтересованные федеральные органы исполнительной власти, исполнительные органы субъектов Российской </w:t>
            </w:r>
            <w:proofErr w:type="spellStart"/>
            <w:r w:rsidRPr="007C76F9">
              <w:rPr>
                <w:rFonts w:ascii="Arial" w:hAnsi="Arial" w:cs="Arial"/>
                <w:color w:val="333333"/>
                <w:sz w:val="21"/>
                <w:szCs w:val="21"/>
              </w:rPr>
              <w:t>Федерац</w:t>
            </w:r>
            <w:proofErr w:type="spellEnd"/>
          </w:p>
        </w:tc>
      </w:tr>
      <w:tr w:rsidR="007C76F9" w:rsidTr="00684A07">
        <w:tc>
          <w:tcPr>
            <w:tcW w:w="14560" w:type="dxa"/>
            <w:gridSpan w:val="4"/>
          </w:tcPr>
          <w:p w:rsidR="007C76F9" w:rsidRPr="007C76F9" w:rsidRDefault="007C76F9" w:rsidP="00AC05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C76F9">
              <w:rPr>
                <w:rFonts w:ascii="Arial" w:hAnsi="Arial" w:cs="Arial"/>
                <w:b/>
                <w:color w:val="333333"/>
                <w:sz w:val="21"/>
                <w:szCs w:val="21"/>
              </w:rPr>
              <w:t>II. Развитие современной безопасной инфраструктуры для детей, формирование условий для активного участия детей, в том числе детей-инвалидов и детей с ограниченными возможностями здоровья, в жизни общества</w:t>
            </w:r>
          </w:p>
        </w:tc>
      </w:tr>
      <w:tr w:rsidR="00677D63" w:rsidTr="00450E70">
        <w:tc>
          <w:tcPr>
            <w:tcW w:w="3640" w:type="dxa"/>
          </w:tcPr>
          <w:p w:rsidR="00677D63" w:rsidRPr="00D223AF" w:rsidRDefault="00677D63" w:rsidP="00677D63">
            <w:r w:rsidRPr="007C76F9">
              <w:t>23. Актуализация комплекса мер до 2025 года по совершенствованию системы профилактики суицида среди несовершеннолетних</w:t>
            </w:r>
          </w:p>
        </w:tc>
        <w:tc>
          <w:tcPr>
            <w:tcW w:w="4719" w:type="dxa"/>
            <w:shd w:val="clear" w:color="auto" w:fill="FFFFFF"/>
          </w:tcPr>
          <w:p w:rsidR="00677D63" w:rsidRPr="00D223AF" w:rsidRDefault="00677D63" w:rsidP="00677D6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77D63">
              <w:rPr>
                <w:rFonts w:ascii="Arial" w:hAnsi="Arial" w:cs="Arial"/>
                <w:color w:val="333333"/>
                <w:sz w:val="21"/>
                <w:szCs w:val="21"/>
              </w:rPr>
              <w:t>проект распоряжения Правительства Российской Федерации</w:t>
            </w:r>
          </w:p>
        </w:tc>
        <w:tc>
          <w:tcPr>
            <w:tcW w:w="2561" w:type="dxa"/>
            <w:shd w:val="clear" w:color="auto" w:fill="FFFFFF"/>
          </w:tcPr>
          <w:p w:rsidR="00677D63" w:rsidRPr="00304B47" w:rsidRDefault="00677D63" w:rsidP="00677D63">
            <w:pPr>
              <w:spacing w:after="160" w:line="259" w:lineRule="auto"/>
            </w:pPr>
            <w:r w:rsidRPr="00304B47">
              <w:t>2025 год</w:t>
            </w:r>
          </w:p>
        </w:tc>
        <w:tc>
          <w:tcPr>
            <w:tcW w:w="3640" w:type="dxa"/>
            <w:shd w:val="clear" w:color="auto" w:fill="FFFFFF"/>
          </w:tcPr>
          <w:p w:rsidR="00677D63" w:rsidRPr="00304B47" w:rsidRDefault="00677D63" w:rsidP="00677D63">
            <w:pPr>
              <w:spacing w:after="160" w:line="259" w:lineRule="auto"/>
            </w:pPr>
            <w:r>
              <w:t xml:space="preserve">          </w:t>
            </w:r>
            <w:r w:rsidRPr="00304B47">
              <w:t xml:space="preserve">Минздрав России, Минтруд России, </w:t>
            </w:r>
            <w:proofErr w:type="spellStart"/>
            <w:r w:rsidRPr="00304B47">
              <w:t>Минпросвещения</w:t>
            </w:r>
            <w:proofErr w:type="spellEnd"/>
            <w:r w:rsidRPr="00304B47">
              <w:t xml:space="preserve"> России, </w:t>
            </w:r>
            <w:r>
              <w:t xml:space="preserve">     </w:t>
            </w:r>
            <w:proofErr w:type="spellStart"/>
            <w:r w:rsidRPr="00304B47">
              <w:t>Минобрнауки</w:t>
            </w:r>
            <w:proofErr w:type="spellEnd"/>
            <w:r w:rsidRPr="00304B47">
              <w:t xml:space="preserve"> России, МВД России, Минкультуры России, </w:t>
            </w:r>
            <w:proofErr w:type="spellStart"/>
            <w:r w:rsidRPr="00304B47">
              <w:t>Росмолодежь</w:t>
            </w:r>
            <w:proofErr w:type="spellEnd"/>
            <w:r w:rsidRPr="00304B47">
              <w:t xml:space="preserve">, </w:t>
            </w:r>
            <w:proofErr w:type="spellStart"/>
            <w:r w:rsidRPr="00304B47">
              <w:t>Роскомнадзор</w:t>
            </w:r>
            <w:proofErr w:type="spellEnd"/>
            <w:r w:rsidRPr="00304B47">
              <w:t xml:space="preserve">, </w:t>
            </w:r>
            <w:proofErr w:type="spellStart"/>
            <w:r w:rsidRPr="00304B47">
              <w:lastRenderedPageBreak/>
              <w:t>Роспотребнадзор</w:t>
            </w:r>
            <w:proofErr w:type="spellEnd"/>
            <w:r w:rsidRPr="00304B47">
              <w:t>, Росстат, ФСИН России, Следственный комитет Российской Федерации, исполнительные органы субъектов Российской Федерации</w:t>
            </w:r>
          </w:p>
        </w:tc>
      </w:tr>
      <w:tr w:rsidR="00677D63" w:rsidTr="00450E70">
        <w:tc>
          <w:tcPr>
            <w:tcW w:w="3640" w:type="dxa"/>
          </w:tcPr>
          <w:p w:rsidR="00677D63" w:rsidRPr="00D223AF" w:rsidRDefault="00677D63" w:rsidP="00677D63">
            <w:r w:rsidRPr="00677D63">
              <w:lastRenderedPageBreak/>
              <w:t>34. Реализация мероприятий, направленных на оказание психологической помощи обучающимся образовательных организаций</w:t>
            </w:r>
          </w:p>
        </w:tc>
        <w:tc>
          <w:tcPr>
            <w:tcW w:w="4719" w:type="dxa"/>
            <w:shd w:val="clear" w:color="auto" w:fill="FFFFFF"/>
          </w:tcPr>
          <w:p w:rsidR="00677D63" w:rsidRPr="00D223AF" w:rsidRDefault="00FF088A" w:rsidP="00677D6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FF088A">
              <w:rPr>
                <w:rFonts w:ascii="Arial" w:hAnsi="Arial" w:cs="Arial"/>
                <w:color w:val="333333"/>
                <w:sz w:val="21"/>
                <w:szCs w:val="21"/>
              </w:rPr>
              <w:t xml:space="preserve">информационно-аналитические материалы на официальном сайте </w:t>
            </w:r>
            <w:proofErr w:type="spellStart"/>
            <w:r w:rsidRPr="00FF088A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FF088A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</w:t>
            </w:r>
          </w:p>
        </w:tc>
        <w:tc>
          <w:tcPr>
            <w:tcW w:w="2561" w:type="dxa"/>
            <w:shd w:val="clear" w:color="auto" w:fill="FFFFFF"/>
          </w:tcPr>
          <w:p w:rsidR="00677D63" w:rsidRPr="00D223AF" w:rsidRDefault="00FF088A" w:rsidP="00677D6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FF088A">
              <w:rPr>
                <w:rFonts w:ascii="Arial" w:hAnsi="Arial" w:cs="Arial"/>
                <w:color w:val="333333"/>
                <w:sz w:val="21"/>
                <w:szCs w:val="21"/>
              </w:rPr>
              <w:t>III квартал 2024 г., далее - ежегодно</w:t>
            </w:r>
          </w:p>
        </w:tc>
        <w:tc>
          <w:tcPr>
            <w:tcW w:w="3640" w:type="dxa"/>
            <w:shd w:val="clear" w:color="auto" w:fill="FFFFFF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7"/>
              <w:gridCol w:w="479"/>
              <w:gridCol w:w="2872"/>
            </w:tblGrid>
            <w:tr w:rsidR="00FF088A" w:rsidRPr="00FF088A" w:rsidTr="00FD0630">
              <w:tc>
                <w:tcPr>
                  <w:tcW w:w="36" w:type="dxa"/>
                  <w:shd w:val="clear" w:color="auto" w:fill="FFFFFF"/>
                  <w:hideMark/>
                </w:tcPr>
                <w:p w:rsidR="00FF088A" w:rsidRPr="00FF088A" w:rsidRDefault="00FF088A" w:rsidP="00FF088A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hideMark/>
                </w:tcPr>
                <w:p w:rsidR="00FF088A" w:rsidRPr="00FF088A" w:rsidRDefault="00FF088A" w:rsidP="00FF088A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3391" w:type="dxa"/>
                  <w:shd w:val="clear" w:color="auto" w:fill="FFFFFF"/>
                  <w:hideMark/>
                </w:tcPr>
                <w:p w:rsidR="00FF088A" w:rsidRPr="00FF088A" w:rsidRDefault="00FF088A" w:rsidP="00FF088A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0211" w:type="dxa"/>
                  <w:shd w:val="clear" w:color="auto" w:fill="FFFFFF"/>
                  <w:hideMark/>
                </w:tcPr>
                <w:p w:rsidR="00FF088A" w:rsidRPr="00FF088A" w:rsidRDefault="00FF088A" w:rsidP="00FF088A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proofErr w:type="spellStart"/>
                  <w:r w:rsidRPr="00FF088A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Минпросвещения</w:t>
                  </w:r>
                  <w:proofErr w:type="spellEnd"/>
                  <w:r w:rsidRPr="00FF088A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России, </w:t>
                  </w:r>
                  <w:proofErr w:type="spellStart"/>
                  <w:r w:rsidRPr="00FF088A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Минобрнауки</w:t>
                  </w:r>
                  <w:proofErr w:type="spellEnd"/>
                  <w:r w:rsidRPr="00FF088A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России, исполнительные органы субъектов Российской Федерации</w:t>
                  </w:r>
                </w:p>
              </w:tc>
            </w:tr>
          </w:tbl>
          <w:p w:rsidR="00FF088A" w:rsidRPr="00FF088A" w:rsidRDefault="00FF088A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677D63" w:rsidRPr="007C76F9" w:rsidRDefault="00677D63" w:rsidP="00677D6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FF088A" w:rsidTr="00F621C4">
        <w:tc>
          <w:tcPr>
            <w:tcW w:w="14560" w:type="dxa"/>
            <w:gridSpan w:val="4"/>
            <w:shd w:val="clear" w:color="auto" w:fill="FFFFFF"/>
          </w:tcPr>
          <w:p w:rsidR="00FF088A" w:rsidRPr="00F22431" w:rsidRDefault="00FF088A" w:rsidP="00FF088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A17B67">
              <w:rPr>
                <w:b/>
                <w:sz w:val="28"/>
                <w:szCs w:val="28"/>
              </w:rPr>
              <w:t xml:space="preserve"> </w:t>
            </w:r>
            <w:r w:rsidRPr="00F22431">
              <w:rPr>
                <w:b/>
                <w:sz w:val="28"/>
                <w:szCs w:val="28"/>
              </w:rPr>
              <w:t>Профилактика преступлений, совершаемых несовершеннолетними и в отношении их</w:t>
            </w:r>
          </w:p>
        </w:tc>
      </w:tr>
      <w:tr w:rsidR="00FF088A" w:rsidTr="00450E70">
        <w:tc>
          <w:tcPr>
            <w:tcW w:w="3640" w:type="dxa"/>
          </w:tcPr>
          <w:p w:rsidR="00FF088A" w:rsidRPr="00D223AF" w:rsidRDefault="0058768E" w:rsidP="00FF088A">
            <w:r w:rsidRPr="0058768E">
              <w:t>36.</w:t>
            </w:r>
            <w:r w:rsidRPr="0058768E">
              <w:tab/>
              <w:t>Разработка и реализация программы повышения квалификации по выявлению признаков отклоняющегося поведения обучающихся и способам их коррекции, включая вопросы детской и подростковой психиатрии и наркологии, для педагогов-психологов, социальных педагогов, а также классных руководителей</w:t>
            </w:r>
          </w:p>
        </w:tc>
        <w:tc>
          <w:tcPr>
            <w:tcW w:w="4719" w:type="dxa"/>
            <w:shd w:val="clear" w:color="auto" w:fill="FFFFFF"/>
          </w:tcPr>
          <w:p w:rsidR="00FF088A" w:rsidRPr="00D223AF" w:rsidRDefault="0059381C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9381C">
              <w:rPr>
                <w:rFonts w:ascii="Arial" w:hAnsi="Arial" w:cs="Arial"/>
                <w:color w:val="333333"/>
                <w:sz w:val="21"/>
                <w:szCs w:val="21"/>
              </w:rPr>
              <w:t xml:space="preserve">информационно-аналитический отчет на официальном сайте </w:t>
            </w:r>
            <w:proofErr w:type="spellStart"/>
            <w:r w:rsidRPr="0059381C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59381C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</w:t>
            </w:r>
          </w:p>
        </w:tc>
        <w:tc>
          <w:tcPr>
            <w:tcW w:w="2561" w:type="dxa"/>
            <w:shd w:val="clear" w:color="auto" w:fill="FFFFFF"/>
          </w:tcPr>
          <w:p w:rsidR="00FF088A" w:rsidRPr="00D223AF" w:rsidRDefault="0059381C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9381C">
              <w:rPr>
                <w:rFonts w:ascii="Arial" w:hAnsi="Arial" w:cs="Arial"/>
                <w:color w:val="333333"/>
                <w:sz w:val="21"/>
                <w:szCs w:val="21"/>
              </w:rPr>
              <w:tab/>
              <w:t>IV квартал 2024 г., далее - ежегодно</w:t>
            </w:r>
          </w:p>
        </w:tc>
        <w:tc>
          <w:tcPr>
            <w:tcW w:w="3640" w:type="dxa"/>
            <w:shd w:val="clear" w:color="auto" w:fill="FFFFFF"/>
          </w:tcPr>
          <w:p w:rsidR="00FF088A" w:rsidRPr="007C76F9" w:rsidRDefault="0059381C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59381C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59381C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</w:t>
            </w:r>
            <w:proofErr w:type="spellStart"/>
            <w:r w:rsidRPr="0059381C">
              <w:rPr>
                <w:rFonts w:ascii="Arial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59381C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Минздрав России</w:t>
            </w:r>
          </w:p>
        </w:tc>
      </w:tr>
      <w:tr w:rsidR="00FF088A" w:rsidTr="00450E70">
        <w:tc>
          <w:tcPr>
            <w:tcW w:w="3640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3115"/>
            </w:tblGrid>
            <w:tr w:rsidR="007177F0" w:rsidRPr="007B2B56" w:rsidTr="00FD0630">
              <w:tc>
                <w:tcPr>
                  <w:tcW w:w="0" w:type="auto"/>
                  <w:shd w:val="clear" w:color="auto" w:fill="FFFFFF"/>
                  <w:hideMark/>
                </w:tcPr>
                <w:p w:rsidR="007177F0" w:rsidRPr="007B2B56" w:rsidRDefault="007177F0" w:rsidP="007177F0">
                  <w:r w:rsidRPr="007B2B56">
                    <w:t>37.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177F0" w:rsidRPr="007B2B56" w:rsidRDefault="007177F0" w:rsidP="007177F0">
                  <w:r w:rsidRPr="007B2B56">
                    <w:t>Развитие школьных служб медиации (примирения) в субъектах Российской Федерации</w:t>
                  </w:r>
                </w:p>
              </w:tc>
            </w:tr>
          </w:tbl>
          <w:p w:rsidR="00FF088A" w:rsidRPr="00D223AF" w:rsidRDefault="00FF088A" w:rsidP="00FF088A"/>
        </w:tc>
        <w:tc>
          <w:tcPr>
            <w:tcW w:w="4719" w:type="dxa"/>
            <w:shd w:val="clear" w:color="auto" w:fill="FFFFFF"/>
          </w:tcPr>
          <w:p w:rsidR="00FF088A" w:rsidRPr="00D223AF" w:rsidRDefault="007177F0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7F0">
              <w:rPr>
                <w:rFonts w:ascii="Arial" w:hAnsi="Arial" w:cs="Arial"/>
                <w:color w:val="333333"/>
                <w:sz w:val="21"/>
                <w:szCs w:val="21"/>
              </w:rPr>
              <w:t>методические рекомендации</w:t>
            </w:r>
          </w:p>
        </w:tc>
        <w:tc>
          <w:tcPr>
            <w:tcW w:w="2561" w:type="dxa"/>
            <w:shd w:val="clear" w:color="auto" w:fill="FFFFFF"/>
          </w:tcPr>
          <w:p w:rsidR="00FF088A" w:rsidRPr="00D223AF" w:rsidRDefault="007177F0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7F0">
              <w:rPr>
                <w:rFonts w:ascii="Arial" w:hAnsi="Arial" w:cs="Arial"/>
                <w:color w:val="333333"/>
                <w:sz w:val="21"/>
                <w:szCs w:val="21"/>
              </w:rPr>
              <w:t>III квартал 2024 г.</w:t>
            </w:r>
          </w:p>
        </w:tc>
        <w:tc>
          <w:tcPr>
            <w:tcW w:w="3640" w:type="dxa"/>
            <w:shd w:val="clear" w:color="auto" w:fill="FFFFFF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4"/>
            </w:tblGrid>
            <w:tr w:rsidR="007177F0" w:rsidRPr="007B2B56" w:rsidTr="00FD0630">
              <w:tc>
                <w:tcPr>
                  <w:tcW w:w="0" w:type="auto"/>
                  <w:shd w:val="clear" w:color="auto" w:fill="FFFFFF"/>
                  <w:hideMark/>
                </w:tcPr>
                <w:p w:rsidR="007177F0" w:rsidRPr="007B2B56" w:rsidRDefault="007177F0" w:rsidP="007177F0">
                  <w:proofErr w:type="spellStart"/>
                  <w:r w:rsidRPr="007B2B56">
                    <w:t>Минпросвещения</w:t>
                  </w:r>
                  <w:proofErr w:type="spellEnd"/>
                  <w:r w:rsidRPr="007B2B56">
                    <w:t xml:space="preserve"> России, Минюст России, исполнительные органы субъектов Российской Федерации</w:t>
                  </w:r>
                </w:p>
              </w:tc>
            </w:tr>
          </w:tbl>
          <w:p w:rsidR="00FF088A" w:rsidRPr="007C76F9" w:rsidRDefault="00FF088A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FF088A" w:rsidTr="00450E70">
        <w:tc>
          <w:tcPr>
            <w:tcW w:w="3640" w:type="dxa"/>
          </w:tcPr>
          <w:p w:rsidR="00FF088A" w:rsidRPr="00D223AF" w:rsidRDefault="007177F0" w:rsidP="00FF088A">
            <w:r w:rsidRPr="007177F0">
              <w:t xml:space="preserve">38. Реализация программ и проектов, направленных на вовлечение в деятельность Общероссийского общественно-государственного движения детей и молодежи "Движение первых" несовершеннолетних, находящихся </w:t>
            </w:r>
            <w:r w:rsidRPr="007177F0">
              <w:lastRenderedPageBreak/>
              <w:t>в трудной жизненной ситуации, а также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4719" w:type="dxa"/>
            <w:shd w:val="clear" w:color="auto" w:fill="FFFFFF"/>
          </w:tcPr>
          <w:p w:rsidR="00FF088A" w:rsidRPr="00D223AF" w:rsidRDefault="00624056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информационно-аналитический отчет на официальном сайте </w:t>
            </w:r>
            <w:proofErr w:type="spellStart"/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>Росмолодежи</w:t>
            </w:r>
            <w:proofErr w:type="spellEnd"/>
          </w:p>
        </w:tc>
        <w:tc>
          <w:tcPr>
            <w:tcW w:w="2561" w:type="dxa"/>
            <w:shd w:val="clear" w:color="auto" w:fill="FFFFFF"/>
          </w:tcPr>
          <w:p w:rsidR="00FF088A" w:rsidRPr="00D223AF" w:rsidRDefault="00624056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>IV квартал 2023 г., далее - ежегодно</w:t>
            </w:r>
          </w:p>
        </w:tc>
        <w:tc>
          <w:tcPr>
            <w:tcW w:w="3640" w:type="dxa"/>
            <w:shd w:val="clear" w:color="auto" w:fill="FFFFFF"/>
          </w:tcPr>
          <w:p w:rsidR="00FF088A" w:rsidRPr="007C76F9" w:rsidRDefault="00624056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 xml:space="preserve">Общероссийское общественно-государственное движение детей и молодежи "Движение первых", </w:t>
            </w:r>
            <w:proofErr w:type="spellStart"/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</w:t>
            </w:r>
            <w:proofErr w:type="spellStart"/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МВД России, </w:t>
            </w:r>
            <w:proofErr w:type="spellStart"/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>Росмолодежь</w:t>
            </w:r>
            <w:proofErr w:type="spellEnd"/>
            <w:r w:rsidRPr="00624056">
              <w:rPr>
                <w:rFonts w:ascii="Arial" w:hAnsi="Arial" w:cs="Arial"/>
                <w:color w:val="333333"/>
                <w:sz w:val="21"/>
                <w:szCs w:val="21"/>
              </w:rPr>
              <w:t>, исполнительные органы субъектов Российской Федерации</w:t>
            </w:r>
          </w:p>
        </w:tc>
      </w:tr>
      <w:tr w:rsidR="007177F0" w:rsidTr="00450E70">
        <w:tc>
          <w:tcPr>
            <w:tcW w:w="3640" w:type="dxa"/>
          </w:tcPr>
          <w:p w:rsidR="007177F0" w:rsidRPr="00D223AF" w:rsidRDefault="00995169" w:rsidP="00FF088A">
            <w:r w:rsidRPr="00995169">
              <w:lastRenderedPageBreak/>
              <w:t>39 Проведение комплекса мероприятий, направленных на правовое воспитание, просвещение и помощь несовершеннолетним в рамках Всероссийского дня правовой помощи детям</w:t>
            </w:r>
          </w:p>
        </w:tc>
        <w:tc>
          <w:tcPr>
            <w:tcW w:w="4719" w:type="dxa"/>
            <w:shd w:val="clear" w:color="auto" w:fill="FFFFFF"/>
          </w:tcPr>
          <w:p w:rsidR="007177F0" w:rsidRPr="00D223AF" w:rsidRDefault="00995169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95169">
              <w:rPr>
                <w:rFonts w:ascii="Arial" w:hAnsi="Arial" w:cs="Arial"/>
                <w:color w:val="333333"/>
                <w:sz w:val="21"/>
                <w:szCs w:val="21"/>
              </w:rPr>
              <w:t>информационно-аналитический отчет на официальном сайте Минюста России</w:t>
            </w:r>
          </w:p>
        </w:tc>
        <w:tc>
          <w:tcPr>
            <w:tcW w:w="2561" w:type="dxa"/>
            <w:shd w:val="clear" w:color="auto" w:fill="FFFFFF"/>
          </w:tcPr>
          <w:p w:rsidR="007177F0" w:rsidRPr="00D223AF" w:rsidRDefault="00995169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95169">
              <w:rPr>
                <w:rFonts w:ascii="Arial" w:hAnsi="Arial" w:cs="Arial"/>
                <w:color w:val="333333"/>
                <w:sz w:val="21"/>
                <w:szCs w:val="21"/>
              </w:rPr>
              <w:t>I квартал 2024 г., далее - ежегодно</w:t>
            </w:r>
          </w:p>
        </w:tc>
        <w:tc>
          <w:tcPr>
            <w:tcW w:w="3640" w:type="dxa"/>
            <w:shd w:val="clear" w:color="auto" w:fill="FFFFFF"/>
          </w:tcPr>
          <w:p w:rsidR="007177F0" w:rsidRPr="007C76F9" w:rsidRDefault="00995169" w:rsidP="00FF088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95169">
              <w:rPr>
                <w:rFonts w:ascii="Arial" w:hAnsi="Arial" w:cs="Arial"/>
                <w:color w:val="333333"/>
                <w:sz w:val="21"/>
                <w:szCs w:val="21"/>
              </w:rPr>
              <w:t xml:space="preserve">Минюст России, </w:t>
            </w:r>
            <w:proofErr w:type="spellStart"/>
            <w:r w:rsidRPr="00995169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995169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МВД России, ФСИН России, заинтересованные федеральные органы исполнительной власти, исполнительные органы субъектов Российской Федерации</w:t>
            </w:r>
          </w:p>
        </w:tc>
      </w:tr>
      <w:tr w:rsidR="00535233" w:rsidTr="00450E70">
        <w:tc>
          <w:tcPr>
            <w:tcW w:w="3640" w:type="dxa"/>
          </w:tcPr>
          <w:p w:rsidR="00535233" w:rsidRPr="00995169" w:rsidRDefault="00535233" w:rsidP="00535233">
            <w:r w:rsidRPr="003F512E">
              <w:t>40 Организация и проведение профилактических акций, комплексных оперативно-профилактических операций (мероприятий) в целях предупреждения незаконного оборота и потребления наркотиков среди подростков и молодежи, противодействия их вовлечению в противоправную деятельность, а также формирования осознанного негативного отношения к незаконному потреблению наркотиков и участию в их незаконном обороте</w:t>
            </w:r>
          </w:p>
        </w:tc>
        <w:tc>
          <w:tcPr>
            <w:tcW w:w="4719" w:type="dxa"/>
            <w:shd w:val="clear" w:color="auto" w:fill="FFFFFF"/>
          </w:tcPr>
          <w:p w:rsidR="00535233" w:rsidRPr="00995169" w:rsidRDefault="00535233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3F512E">
              <w:rPr>
                <w:rFonts w:ascii="Arial" w:hAnsi="Arial" w:cs="Arial"/>
                <w:color w:val="333333"/>
                <w:sz w:val="21"/>
                <w:szCs w:val="21"/>
              </w:rPr>
              <w:t>информационно-аналитический отчет на официальном сайте МВД России</w:t>
            </w:r>
          </w:p>
        </w:tc>
        <w:tc>
          <w:tcPr>
            <w:tcW w:w="2561" w:type="dxa"/>
            <w:shd w:val="clear" w:color="auto" w:fill="FFFFFF"/>
          </w:tcPr>
          <w:p w:rsidR="00535233" w:rsidRPr="00995169" w:rsidRDefault="00535233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3F512E">
              <w:rPr>
                <w:rFonts w:ascii="Arial" w:hAnsi="Arial" w:cs="Arial"/>
                <w:color w:val="333333"/>
                <w:sz w:val="21"/>
                <w:szCs w:val="21"/>
              </w:rPr>
              <w:t>2024 год, далее - ежегодно</w:t>
            </w:r>
          </w:p>
        </w:tc>
        <w:tc>
          <w:tcPr>
            <w:tcW w:w="3640" w:type="dxa"/>
            <w:shd w:val="clear" w:color="auto" w:fill="FFFFFF"/>
          </w:tcPr>
          <w:p w:rsidR="00535233" w:rsidRPr="00913955" w:rsidRDefault="00535233" w:rsidP="0053523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39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МВД России, </w:t>
            </w:r>
            <w:proofErr w:type="spellStart"/>
            <w:r w:rsidRPr="009139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9139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9139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9139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9139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9139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заинтересованные федеральные органы исполнительной власти, исполнительные органы субъектов Российской Федерации</w:t>
            </w:r>
          </w:p>
        </w:tc>
      </w:tr>
      <w:tr w:rsidR="00535233" w:rsidTr="00450E70">
        <w:tc>
          <w:tcPr>
            <w:tcW w:w="3640" w:type="dxa"/>
          </w:tcPr>
          <w:p w:rsidR="00535233" w:rsidRPr="00995169" w:rsidRDefault="00535233" w:rsidP="00535233">
            <w:r w:rsidRPr="00535233">
              <w:t xml:space="preserve">45 Организация и проведение профилактических акций, комплексных оперативно-профилактических операций (мероприятий), направленных на развитие у несовершеннолетних гражданской активности в духе </w:t>
            </w:r>
            <w:r w:rsidRPr="00535233">
              <w:lastRenderedPageBreak/>
              <w:t>патриотизма, нетерпимости к любым формам ненависти и вражды, формирование негативного отношения к радикальной идеологии, профилактику экстремистских проявлений, предупреждение групповой преступности несовершеннолетних, предотвращение вовлечения их в деструктивную деятельность и проникновения в подростковую среду элементов криминальной субкультуры</w:t>
            </w:r>
          </w:p>
        </w:tc>
        <w:tc>
          <w:tcPr>
            <w:tcW w:w="4719" w:type="dxa"/>
            <w:shd w:val="clear" w:color="auto" w:fill="FFFFFF"/>
          </w:tcPr>
          <w:p w:rsidR="00535233" w:rsidRPr="00995169" w:rsidRDefault="00535233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информационно-аналитический отчет</w:t>
            </w:r>
          </w:p>
        </w:tc>
        <w:tc>
          <w:tcPr>
            <w:tcW w:w="2561" w:type="dxa"/>
            <w:shd w:val="clear" w:color="auto" w:fill="FFFFFF"/>
          </w:tcPr>
          <w:p w:rsidR="00535233" w:rsidRPr="00995169" w:rsidRDefault="00535233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t>2024 год, далее - ежегодно</w:t>
            </w:r>
          </w:p>
        </w:tc>
        <w:tc>
          <w:tcPr>
            <w:tcW w:w="3640" w:type="dxa"/>
            <w:shd w:val="clear" w:color="auto" w:fill="FFFFFF"/>
          </w:tcPr>
          <w:p w:rsidR="00535233" w:rsidRPr="00995169" w:rsidRDefault="00535233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t xml:space="preserve">МВД России, </w:t>
            </w:r>
            <w:proofErr w:type="spellStart"/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</w:t>
            </w:r>
            <w:proofErr w:type="spellStart"/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</w:t>
            </w:r>
            <w:proofErr w:type="spellStart"/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t>Росмолодежь</w:t>
            </w:r>
            <w:proofErr w:type="spellEnd"/>
            <w:r w:rsidRPr="00535233">
              <w:rPr>
                <w:rFonts w:ascii="Arial" w:hAnsi="Arial" w:cs="Arial"/>
                <w:color w:val="333333"/>
                <w:sz w:val="21"/>
                <w:szCs w:val="21"/>
              </w:rPr>
              <w:t>, заинтересованные федеральные органы исполнительной власти, исполнительные органы субъектов Российской Федерации</w:t>
            </w:r>
          </w:p>
        </w:tc>
      </w:tr>
      <w:tr w:rsidR="00535233" w:rsidTr="00450E70">
        <w:tc>
          <w:tcPr>
            <w:tcW w:w="3640" w:type="dxa"/>
          </w:tcPr>
          <w:p w:rsidR="00535233" w:rsidRPr="00995169" w:rsidRDefault="00A04770" w:rsidP="00535233">
            <w:r w:rsidRPr="00A04770">
              <w:lastRenderedPageBreak/>
              <w:t>48 Реализация перечня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</w:t>
            </w:r>
          </w:p>
        </w:tc>
        <w:tc>
          <w:tcPr>
            <w:tcW w:w="4719" w:type="dxa"/>
            <w:shd w:val="clear" w:color="auto" w:fill="FFFFFF"/>
          </w:tcPr>
          <w:p w:rsidR="00535233" w:rsidRPr="00995169" w:rsidRDefault="00A04770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A04770">
              <w:rPr>
                <w:rFonts w:ascii="Arial" w:hAnsi="Arial" w:cs="Arial"/>
                <w:color w:val="333333"/>
                <w:sz w:val="21"/>
                <w:szCs w:val="21"/>
              </w:rPr>
              <w:t>аналитический отчет в Правительственную комиссию по делам несовершеннолетних и защите их прав</w:t>
            </w:r>
          </w:p>
        </w:tc>
        <w:tc>
          <w:tcPr>
            <w:tcW w:w="2561" w:type="dxa"/>
            <w:shd w:val="clear" w:color="auto" w:fill="FFFFFF"/>
          </w:tcPr>
          <w:p w:rsidR="00535233" w:rsidRPr="00995169" w:rsidRDefault="00A04770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A04770">
              <w:rPr>
                <w:rFonts w:ascii="Arial" w:hAnsi="Arial" w:cs="Arial"/>
                <w:color w:val="333333"/>
                <w:sz w:val="21"/>
                <w:szCs w:val="21"/>
              </w:rPr>
              <w:t>I квартал 2024 г., далее - ежегодно</w:t>
            </w:r>
          </w:p>
        </w:tc>
        <w:tc>
          <w:tcPr>
            <w:tcW w:w="3640" w:type="dxa"/>
            <w:shd w:val="clear" w:color="auto" w:fill="FFFFFF"/>
          </w:tcPr>
          <w:p w:rsidR="00535233" w:rsidRPr="00995169" w:rsidRDefault="00A04770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A04770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A04770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Минздрав России, заинтересованные федеральные органы исполнительной власти, федеральные государственные органы</w:t>
            </w:r>
          </w:p>
        </w:tc>
      </w:tr>
      <w:tr w:rsidR="00F47469" w:rsidTr="00FE1209">
        <w:tc>
          <w:tcPr>
            <w:tcW w:w="14560" w:type="dxa"/>
            <w:gridSpan w:val="4"/>
          </w:tcPr>
          <w:p w:rsidR="00F47469" w:rsidRPr="00733E9E" w:rsidRDefault="00F47469" w:rsidP="00F47469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733E9E">
              <w:rPr>
                <w:b/>
                <w:sz w:val="28"/>
                <w:szCs w:val="28"/>
              </w:rPr>
              <w:t>IV. Формирование безопасной информационной среды для детей</w:t>
            </w:r>
          </w:p>
        </w:tc>
      </w:tr>
      <w:tr w:rsidR="00535233" w:rsidTr="00450E70">
        <w:tc>
          <w:tcPr>
            <w:tcW w:w="3640" w:type="dxa"/>
          </w:tcPr>
          <w:p w:rsidR="00535233" w:rsidRPr="00995169" w:rsidRDefault="0079035A" w:rsidP="00535233">
            <w:r w:rsidRPr="0079035A">
              <w:t>67. Формирование банка эффективных моделей и практик воспитательной и профилактической работы, направленной на предупреждение общественно опасного поведения подростков и молодежи</w:t>
            </w:r>
          </w:p>
        </w:tc>
        <w:tc>
          <w:tcPr>
            <w:tcW w:w="4719" w:type="dxa"/>
            <w:shd w:val="clear" w:color="auto" w:fill="FFFFFF"/>
          </w:tcPr>
          <w:p w:rsidR="00535233" w:rsidRPr="00995169" w:rsidRDefault="009E0838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 xml:space="preserve">сборник эффективных моделей и практик на официальном сайте </w:t>
            </w:r>
            <w:proofErr w:type="spellStart"/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>Рособрнадзора</w:t>
            </w:r>
            <w:proofErr w:type="spellEnd"/>
          </w:p>
        </w:tc>
        <w:tc>
          <w:tcPr>
            <w:tcW w:w="2561" w:type="dxa"/>
            <w:shd w:val="clear" w:color="auto" w:fill="FFFFFF"/>
          </w:tcPr>
          <w:p w:rsidR="00535233" w:rsidRPr="00995169" w:rsidRDefault="009E0838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>IV квартал 2024 г.</w:t>
            </w:r>
          </w:p>
        </w:tc>
        <w:tc>
          <w:tcPr>
            <w:tcW w:w="3640" w:type="dxa"/>
            <w:shd w:val="clear" w:color="auto" w:fill="FFFFFF"/>
          </w:tcPr>
          <w:p w:rsidR="00535233" w:rsidRPr="00995169" w:rsidRDefault="009E0838" w:rsidP="0053523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>Рособрнадзор</w:t>
            </w:r>
            <w:proofErr w:type="spellEnd"/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>Минпросвещения</w:t>
            </w:r>
            <w:proofErr w:type="spellEnd"/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России, </w:t>
            </w:r>
            <w:proofErr w:type="spellStart"/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>Минобрнауки</w:t>
            </w:r>
            <w:proofErr w:type="spellEnd"/>
            <w:r w:rsidRPr="009E0838">
              <w:rPr>
                <w:rFonts w:ascii="Arial" w:hAnsi="Arial" w:cs="Arial"/>
                <w:color w:val="333333"/>
                <w:sz w:val="21"/>
                <w:szCs w:val="21"/>
              </w:rPr>
              <w:t xml:space="preserve"> России</w:t>
            </w:r>
          </w:p>
        </w:tc>
      </w:tr>
    </w:tbl>
    <w:p w:rsidR="00FF02A7" w:rsidRDefault="00FF02A7"/>
    <w:tbl>
      <w:tblPr>
        <w:tblW w:w="153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5090"/>
        <w:gridCol w:w="5090"/>
        <w:gridCol w:w="5090"/>
      </w:tblGrid>
      <w:tr w:rsidR="00F06AF0" w:rsidRPr="00772967" w:rsidTr="00AB781E">
        <w:tc>
          <w:tcPr>
            <w:tcW w:w="50" w:type="dxa"/>
            <w:shd w:val="clear" w:color="auto" w:fill="FFFFFF"/>
            <w:hideMark/>
          </w:tcPr>
          <w:p w:rsidR="00772967" w:rsidRPr="00772967" w:rsidRDefault="00772967" w:rsidP="00772967"/>
        </w:tc>
        <w:tc>
          <w:tcPr>
            <w:tcW w:w="0" w:type="auto"/>
            <w:shd w:val="clear" w:color="auto" w:fill="FFFFFF"/>
            <w:hideMark/>
          </w:tcPr>
          <w:p w:rsidR="00772967" w:rsidRPr="00772967" w:rsidRDefault="00772967" w:rsidP="00772967"/>
        </w:tc>
        <w:tc>
          <w:tcPr>
            <w:tcW w:w="0" w:type="auto"/>
            <w:shd w:val="clear" w:color="auto" w:fill="FFFFFF"/>
            <w:hideMark/>
          </w:tcPr>
          <w:p w:rsidR="00772967" w:rsidRPr="00772967" w:rsidRDefault="00772967" w:rsidP="00772967"/>
        </w:tc>
        <w:tc>
          <w:tcPr>
            <w:tcW w:w="0" w:type="auto"/>
            <w:shd w:val="clear" w:color="auto" w:fill="FFFFFF"/>
            <w:hideMark/>
          </w:tcPr>
          <w:p w:rsidR="00772967" w:rsidRPr="00772967" w:rsidRDefault="00772967" w:rsidP="00772967"/>
        </w:tc>
      </w:tr>
    </w:tbl>
    <w:p w:rsidR="00772967" w:rsidRDefault="00772967"/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0"/>
        <w:gridCol w:w="2343"/>
        <w:gridCol w:w="12878"/>
      </w:tblGrid>
      <w:tr w:rsidR="00304B47" w:rsidRPr="00304B47" w:rsidTr="00D223AF">
        <w:tc>
          <w:tcPr>
            <w:tcW w:w="36" w:type="dxa"/>
            <w:shd w:val="clear" w:color="auto" w:fill="FFFFFF"/>
            <w:hideMark/>
          </w:tcPr>
          <w:p w:rsidR="00304B47" w:rsidRPr="00304B47" w:rsidRDefault="00304B47" w:rsidP="00304B47"/>
        </w:tc>
        <w:tc>
          <w:tcPr>
            <w:tcW w:w="50" w:type="dxa"/>
            <w:shd w:val="clear" w:color="auto" w:fill="FFFFFF"/>
            <w:hideMark/>
          </w:tcPr>
          <w:p w:rsidR="00304B47" w:rsidRPr="00304B47" w:rsidRDefault="00304B47" w:rsidP="00304B47"/>
        </w:tc>
        <w:tc>
          <w:tcPr>
            <w:tcW w:w="2343" w:type="dxa"/>
            <w:shd w:val="clear" w:color="auto" w:fill="FFFFFF"/>
            <w:hideMark/>
          </w:tcPr>
          <w:p w:rsidR="00304B47" w:rsidRPr="00304B47" w:rsidRDefault="00304B47" w:rsidP="00304B47"/>
        </w:tc>
        <w:tc>
          <w:tcPr>
            <w:tcW w:w="12878" w:type="dxa"/>
            <w:shd w:val="clear" w:color="auto" w:fill="FFFFFF"/>
            <w:hideMark/>
          </w:tcPr>
          <w:p w:rsidR="00304B47" w:rsidRPr="00304B47" w:rsidRDefault="00304B47" w:rsidP="00304B47"/>
        </w:tc>
      </w:tr>
    </w:tbl>
    <w:p w:rsidR="00304B47" w:rsidRPr="00E2088C" w:rsidRDefault="00304B47">
      <w:pPr>
        <w:rPr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677D63" w:rsidRPr="00304B47" w:rsidTr="00677D63">
        <w:tc>
          <w:tcPr>
            <w:tcW w:w="0" w:type="auto"/>
            <w:shd w:val="clear" w:color="auto" w:fill="FFFFFF"/>
            <w:hideMark/>
          </w:tcPr>
          <w:p w:rsidR="00677D63" w:rsidRPr="00304B47" w:rsidRDefault="00677D63" w:rsidP="00304B47"/>
        </w:tc>
        <w:tc>
          <w:tcPr>
            <w:tcW w:w="0" w:type="auto"/>
            <w:shd w:val="clear" w:color="auto" w:fill="FFFFFF"/>
            <w:hideMark/>
          </w:tcPr>
          <w:p w:rsidR="00677D63" w:rsidRPr="00304B47" w:rsidRDefault="00677D63" w:rsidP="00304B47"/>
        </w:tc>
      </w:tr>
    </w:tbl>
    <w:p w:rsidR="00304B47" w:rsidRDefault="00304B4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617"/>
        <w:gridCol w:w="2734"/>
        <w:gridCol w:w="36"/>
      </w:tblGrid>
      <w:tr w:rsidR="007B2B56" w:rsidRPr="007B2B56" w:rsidTr="00FF088A">
        <w:tc>
          <w:tcPr>
            <w:tcW w:w="0" w:type="auto"/>
            <w:gridSpan w:val="5"/>
            <w:shd w:val="clear" w:color="auto" w:fill="FFFFFF"/>
          </w:tcPr>
          <w:p w:rsidR="007B2B56" w:rsidRPr="00F22431" w:rsidRDefault="007B2B56" w:rsidP="007B2B56">
            <w:pPr>
              <w:rPr>
                <w:b/>
                <w:sz w:val="28"/>
                <w:szCs w:val="28"/>
              </w:rPr>
            </w:pPr>
          </w:p>
        </w:tc>
      </w:tr>
      <w:tr w:rsidR="007B2B56" w:rsidRPr="007B2B56" w:rsidTr="0059381C">
        <w:tc>
          <w:tcPr>
            <w:tcW w:w="0" w:type="auto"/>
            <w:shd w:val="clear" w:color="auto" w:fill="FFFFFF"/>
          </w:tcPr>
          <w:p w:rsidR="007B2B56" w:rsidRPr="007B2B56" w:rsidRDefault="007B2B56" w:rsidP="007B2B56"/>
        </w:tc>
        <w:tc>
          <w:tcPr>
            <w:tcW w:w="0" w:type="auto"/>
            <w:shd w:val="clear" w:color="auto" w:fill="FFFFFF"/>
          </w:tcPr>
          <w:p w:rsidR="007B2B56" w:rsidRPr="007B2B56" w:rsidRDefault="007B2B56" w:rsidP="007B2B56"/>
        </w:tc>
        <w:tc>
          <w:tcPr>
            <w:tcW w:w="1617" w:type="dxa"/>
            <w:shd w:val="clear" w:color="auto" w:fill="FFFFFF"/>
          </w:tcPr>
          <w:p w:rsidR="007B2B56" w:rsidRPr="007B2B56" w:rsidRDefault="007B2B56" w:rsidP="007B2B56"/>
        </w:tc>
        <w:tc>
          <w:tcPr>
            <w:tcW w:w="2734" w:type="dxa"/>
            <w:shd w:val="clear" w:color="auto" w:fill="FFFFFF"/>
          </w:tcPr>
          <w:p w:rsidR="007B2B56" w:rsidRPr="007B2B56" w:rsidRDefault="007B2B56" w:rsidP="007B2B56"/>
        </w:tc>
        <w:tc>
          <w:tcPr>
            <w:tcW w:w="0" w:type="auto"/>
            <w:shd w:val="clear" w:color="auto" w:fill="FFFFFF"/>
            <w:hideMark/>
          </w:tcPr>
          <w:p w:rsidR="007B2B56" w:rsidRPr="007B2B56" w:rsidRDefault="007B2B56" w:rsidP="007B2B56"/>
        </w:tc>
      </w:tr>
      <w:tr w:rsidR="007B2B56" w:rsidRPr="007B2B56" w:rsidTr="007177F0">
        <w:tc>
          <w:tcPr>
            <w:tcW w:w="0" w:type="auto"/>
            <w:shd w:val="clear" w:color="auto" w:fill="FFFFFF"/>
          </w:tcPr>
          <w:p w:rsidR="007B2B56" w:rsidRPr="007B2B56" w:rsidRDefault="007B2B56" w:rsidP="007B2B56"/>
        </w:tc>
        <w:tc>
          <w:tcPr>
            <w:tcW w:w="0" w:type="auto"/>
            <w:shd w:val="clear" w:color="auto" w:fill="FFFFFF"/>
          </w:tcPr>
          <w:p w:rsidR="007B2B56" w:rsidRPr="007B2B56" w:rsidRDefault="007B2B56" w:rsidP="007B2B56"/>
        </w:tc>
        <w:tc>
          <w:tcPr>
            <w:tcW w:w="1617" w:type="dxa"/>
            <w:shd w:val="clear" w:color="auto" w:fill="FFFFFF"/>
            <w:hideMark/>
          </w:tcPr>
          <w:p w:rsidR="007B2B56" w:rsidRPr="007B2B56" w:rsidRDefault="007B2B56" w:rsidP="007B2B56"/>
        </w:tc>
        <w:tc>
          <w:tcPr>
            <w:tcW w:w="2734" w:type="dxa"/>
            <w:shd w:val="clear" w:color="auto" w:fill="FFFFFF"/>
            <w:hideMark/>
          </w:tcPr>
          <w:p w:rsidR="007B2B56" w:rsidRPr="007B2B56" w:rsidRDefault="007B2B56" w:rsidP="007B2B56"/>
        </w:tc>
        <w:tc>
          <w:tcPr>
            <w:tcW w:w="0" w:type="auto"/>
            <w:shd w:val="clear" w:color="auto" w:fill="FFFFFF"/>
          </w:tcPr>
          <w:p w:rsidR="007B2B56" w:rsidRPr="007B2B56" w:rsidRDefault="007B2B56" w:rsidP="007B2B56"/>
        </w:tc>
      </w:tr>
    </w:tbl>
    <w:p w:rsidR="00F84660" w:rsidRDefault="00F84660">
      <w: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</w:tblGrid>
      <w:tr w:rsidR="00F84660" w:rsidRPr="00F84660" w:rsidTr="00F84660">
        <w:tc>
          <w:tcPr>
            <w:tcW w:w="0" w:type="auto"/>
            <w:shd w:val="clear" w:color="auto" w:fill="FFFFFF"/>
            <w:hideMark/>
          </w:tcPr>
          <w:p w:rsidR="00F84660" w:rsidRPr="00F84660" w:rsidRDefault="00F84660" w:rsidP="00F846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4660" w:rsidRPr="00F84660" w:rsidRDefault="00F84660" w:rsidP="00F846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4660" w:rsidRPr="00F84660" w:rsidRDefault="00F84660" w:rsidP="00F846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4660" w:rsidRPr="00F84660" w:rsidRDefault="00F84660" w:rsidP="00F846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B2B56" w:rsidRDefault="007B2B56"/>
    <w:p w:rsidR="000B76DC" w:rsidRDefault="000B76DC" w:rsidP="007C3CD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419"/>
        <w:gridCol w:w="36"/>
        <w:gridCol w:w="36"/>
      </w:tblGrid>
      <w:tr w:rsidR="000B76DC" w:rsidRPr="000B76DC" w:rsidTr="003F512E">
        <w:tc>
          <w:tcPr>
            <w:tcW w:w="5812" w:type="dxa"/>
            <w:shd w:val="clear" w:color="auto" w:fill="FFFFFF"/>
            <w:hideMark/>
          </w:tcPr>
          <w:p w:rsidR="000B76DC" w:rsidRPr="000B76DC" w:rsidRDefault="000B76DC" w:rsidP="000B76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shd w:val="clear" w:color="auto" w:fill="FFFFFF"/>
            <w:hideMark/>
          </w:tcPr>
          <w:p w:rsidR="000B76DC" w:rsidRPr="000B76DC" w:rsidRDefault="000B76DC" w:rsidP="000B76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6DC" w:rsidRPr="000B76DC" w:rsidRDefault="000B76DC" w:rsidP="000B76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B76DC" w:rsidRPr="000B76DC" w:rsidRDefault="000B76DC" w:rsidP="000B76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955" w:rsidRPr="00913955" w:rsidTr="00535233">
        <w:tc>
          <w:tcPr>
            <w:tcW w:w="5812" w:type="dxa"/>
            <w:shd w:val="clear" w:color="auto" w:fill="FFFFFF"/>
            <w:hideMark/>
          </w:tcPr>
          <w:p w:rsidR="00913955" w:rsidRPr="00913955" w:rsidRDefault="00913955" w:rsidP="009139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shd w:val="clear" w:color="auto" w:fill="FFFFFF"/>
            <w:hideMark/>
          </w:tcPr>
          <w:p w:rsidR="00913955" w:rsidRPr="00913955" w:rsidRDefault="00913955" w:rsidP="009139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3955" w:rsidRPr="00913955" w:rsidRDefault="00913955" w:rsidP="009139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13955" w:rsidRPr="00913955" w:rsidRDefault="00913955" w:rsidP="009139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C3CD4" w:rsidRDefault="007C3CD4" w:rsidP="007C3CD4"/>
    <w:p w:rsidR="007C3CD4" w:rsidRDefault="007C3CD4" w:rsidP="007C3CD4"/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0"/>
        <w:gridCol w:w="2922"/>
        <w:gridCol w:w="12299"/>
      </w:tblGrid>
      <w:tr w:rsidR="00BD2181" w:rsidRPr="00BD2181" w:rsidTr="00A04770">
        <w:tc>
          <w:tcPr>
            <w:tcW w:w="36" w:type="dxa"/>
            <w:shd w:val="clear" w:color="auto" w:fill="FFFFFF"/>
            <w:hideMark/>
          </w:tcPr>
          <w:p w:rsidR="00BD2181" w:rsidRPr="00BD2181" w:rsidRDefault="00BD2181" w:rsidP="00BD2181"/>
        </w:tc>
        <w:tc>
          <w:tcPr>
            <w:tcW w:w="50" w:type="dxa"/>
            <w:shd w:val="clear" w:color="auto" w:fill="FFFFFF"/>
            <w:hideMark/>
          </w:tcPr>
          <w:p w:rsidR="00BD2181" w:rsidRPr="00BD2181" w:rsidRDefault="00BD2181" w:rsidP="00BD2181"/>
        </w:tc>
        <w:tc>
          <w:tcPr>
            <w:tcW w:w="2922" w:type="dxa"/>
            <w:shd w:val="clear" w:color="auto" w:fill="FFFFFF"/>
            <w:hideMark/>
          </w:tcPr>
          <w:p w:rsidR="00BD2181" w:rsidRPr="00BD2181" w:rsidRDefault="00BD2181" w:rsidP="00BD2181"/>
        </w:tc>
        <w:tc>
          <w:tcPr>
            <w:tcW w:w="12299" w:type="dxa"/>
            <w:shd w:val="clear" w:color="auto" w:fill="FFFFFF"/>
            <w:hideMark/>
          </w:tcPr>
          <w:p w:rsidR="00BD2181" w:rsidRPr="00BD2181" w:rsidRDefault="00BD2181" w:rsidP="00BD2181"/>
        </w:tc>
      </w:tr>
      <w:tr w:rsidR="00BD2181" w:rsidRPr="00BD2181" w:rsidTr="00A04770">
        <w:tc>
          <w:tcPr>
            <w:tcW w:w="36" w:type="dxa"/>
            <w:shd w:val="clear" w:color="auto" w:fill="FFFFFF"/>
            <w:hideMark/>
          </w:tcPr>
          <w:p w:rsidR="00BD2181" w:rsidRPr="00BD2181" w:rsidRDefault="00BD2181" w:rsidP="00BD2181"/>
        </w:tc>
        <w:tc>
          <w:tcPr>
            <w:tcW w:w="50" w:type="dxa"/>
            <w:shd w:val="clear" w:color="auto" w:fill="FFFFFF"/>
            <w:hideMark/>
          </w:tcPr>
          <w:p w:rsidR="00BD2181" w:rsidRPr="00BD2181" w:rsidRDefault="00BD2181" w:rsidP="00BD2181"/>
        </w:tc>
        <w:tc>
          <w:tcPr>
            <w:tcW w:w="2922" w:type="dxa"/>
            <w:shd w:val="clear" w:color="auto" w:fill="FFFFFF"/>
            <w:hideMark/>
          </w:tcPr>
          <w:p w:rsidR="00BD2181" w:rsidRPr="00BD2181" w:rsidRDefault="00BD2181" w:rsidP="00BD2181"/>
        </w:tc>
        <w:tc>
          <w:tcPr>
            <w:tcW w:w="12299" w:type="dxa"/>
            <w:shd w:val="clear" w:color="auto" w:fill="FFFFFF"/>
            <w:hideMark/>
          </w:tcPr>
          <w:p w:rsidR="00BD2181" w:rsidRPr="00BD2181" w:rsidRDefault="00BD2181" w:rsidP="00BD2181"/>
        </w:tc>
      </w:tr>
    </w:tbl>
    <w:p w:rsidR="00F72548" w:rsidRDefault="00F72548" w:rsidP="007C3CD4">
      <w:r>
        <w:t xml:space="preserve"> </w:t>
      </w:r>
    </w:p>
    <w:p w:rsidR="007C3CD4" w:rsidRDefault="007C3CD4" w:rsidP="007C3CD4"/>
    <w:tbl>
      <w:tblPr>
        <w:tblW w:w="0" w:type="auto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36"/>
        <w:gridCol w:w="36"/>
        <w:gridCol w:w="36"/>
      </w:tblGrid>
      <w:tr w:rsidR="00B266E7" w:rsidRPr="00B266E7" w:rsidTr="009E0838">
        <w:tc>
          <w:tcPr>
            <w:tcW w:w="5384" w:type="dxa"/>
            <w:shd w:val="clear" w:color="auto" w:fill="FFFFFF"/>
            <w:hideMark/>
          </w:tcPr>
          <w:p w:rsidR="00B266E7" w:rsidRPr="00B266E7" w:rsidRDefault="00B266E7" w:rsidP="00B266E7"/>
        </w:tc>
        <w:tc>
          <w:tcPr>
            <w:tcW w:w="0" w:type="auto"/>
            <w:shd w:val="clear" w:color="auto" w:fill="FFFFFF"/>
            <w:hideMark/>
          </w:tcPr>
          <w:p w:rsidR="00B266E7" w:rsidRPr="00B266E7" w:rsidRDefault="00B266E7" w:rsidP="00B266E7"/>
        </w:tc>
        <w:tc>
          <w:tcPr>
            <w:tcW w:w="0" w:type="auto"/>
            <w:shd w:val="clear" w:color="auto" w:fill="FFFFFF"/>
            <w:hideMark/>
          </w:tcPr>
          <w:p w:rsidR="00B266E7" w:rsidRPr="00B266E7" w:rsidRDefault="00B266E7" w:rsidP="00B266E7"/>
        </w:tc>
        <w:tc>
          <w:tcPr>
            <w:tcW w:w="0" w:type="auto"/>
            <w:shd w:val="clear" w:color="auto" w:fill="FFFFFF"/>
            <w:hideMark/>
          </w:tcPr>
          <w:p w:rsidR="00B266E7" w:rsidRPr="00B266E7" w:rsidRDefault="00B266E7" w:rsidP="00B266E7"/>
        </w:tc>
      </w:tr>
    </w:tbl>
    <w:p w:rsidR="000B4962" w:rsidRDefault="000B4962" w:rsidP="007C3CD4"/>
    <w:p w:rsidR="007F0083" w:rsidRDefault="007F0083" w:rsidP="007C3CD4"/>
    <w:p w:rsidR="007F0083" w:rsidRDefault="007F0083" w:rsidP="007F0083"/>
    <w:sectPr w:rsidR="007F0083" w:rsidSect="003E6CD8">
      <w:pgSz w:w="16838" w:h="11906" w:orient="landscape"/>
      <w:pgMar w:top="624" w:right="851" w:bottom="107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7"/>
    <w:rsid w:val="000B4962"/>
    <w:rsid w:val="000B76DC"/>
    <w:rsid w:val="00153BA3"/>
    <w:rsid w:val="00157B64"/>
    <w:rsid w:val="00185250"/>
    <w:rsid w:val="00304B47"/>
    <w:rsid w:val="003B4F4C"/>
    <w:rsid w:val="003E6CD8"/>
    <w:rsid w:val="003F512E"/>
    <w:rsid w:val="00450E70"/>
    <w:rsid w:val="00453BD9"/>
    <w:rsid w:val="00535233"/>
    <w:rsid w:val="0058768E"/>
    <w:rsid w:val="0059381C"/>
    <w:rsid w:val="00624056"/>
    <w:rsid w:val="00663EF9"/>
    <w:rsid w:val="00677D63"/>
    <w:rsid w:val="0071555C"/>
    <w:rsid w:val="007177F0"/>
    <w:rsid w:val="00733E9E"/>
    <w:rsid w:val="00772967"/>
    <w:rsid w:val="00775BA6"/>
    <w:rsid w:val="0079035A"/>
    <w:rsid w:val="007B2B56"/>
    <w:rsid w:val="007C3CD4"/>
    <w:rsid w:val="007C76F9"/>
    <w:rsid w:val="007D5272"/>
    <w:rsid w:val="007F0083"/>
    <w:rsid w:val="008E2484"/>
    <w:rsid w:val="00913955"/>
    <w:rsid w:val="00995169"/>
    <w:rsid w:val="009E0838"/>
    <w:rsid w:val="00A04770"/>
    <w:rsid w:val="00A17B67"/>
    <w:rsid w:val="00A2500D"/>
    <w:rsid w:val="00A81B78"/>
    <w:rsid w:val="00AB781E"/>
    <w:rsid w:val="00AC0533"/>
    <w:rsid w:val="00B266E7"/>
    <w:rsid w:val="00BC65EC"/>
    <w:rsid w:val="00BD2181"/>
    <w:rsid w:val="00BF618E"/>
    <w:rsid w:val="00CB64B6"/>
    <w:rsid w:val="00CC22A7"/>
    <w:rsid w:val="00D146CA"/>
    <w:rsid w:val="00D223AF"/>
    <w:rsid w:val="00D63830"/>
    <w:rsid w:val="00E2088C"/>
    <w:rsid w:val="00E3572B"/>
    <w:rsid w:val="00E86967"/>
    <w:rsid w:val="00F06AF0"/>
    <w:rsid w:val="00F143CC"/>
    <w:rsid w:val="00F22431"/>
    <w:rsid w:val="00F47469"/>
    <w:rsid w:val="00F72548"/>
    <w:rsid w:val="00F84660"/>
    <w:rsid w:val="00FF02A7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09D4"/>
  <w15:chartTrackingRefBased/>
  <w15:docId w15:val="{B9077EA6-C3A3-42A5-BDDA-5BC8C79A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Сварацкая Татьяна Яновна</dc:creator>
  <cp:keywords/>
  <dc:description/>
  <cp:lastModifiedBy>Сварацкая Татьяна Яновна</cp:lastModifiedBy>
  <cp:revision>7</cp:revision>
  <dcterms:created xsi:type="dcterms:W3CDTF">2024-01-29T02:44:00Z</dcterms:created>
  <dcterms:modified xsi:type="dcterms:W3CDTF">2024-01-29T04:51:00Z</dcterms:modified>
</cp:coreProperties>
</file>